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730F88" w:rsidRDefault="00611267" w:rsidP="00F14744">
      <w:pPr>
        <w:spacing w:line="276" w:lineRule="auto"/>
        <w:jc w:val="center"/>
        <w:rPr>
          <w:rFonts w:ascii="Sylfaen" w:hAnsi="Sylfaen" w:cstheme="minorHAnsi"/>
          <w:b/>
          <w:sz w:val="24"/>
          <w:szCs w:val="24"/>
          <w:lang w:val="ka-GE"/>
        </w:rPr>
      </w:pPr>
      <w:r w:rsidRPr="00730F88">
        <w:rPr>
          <w:rFonts w:ascii="Sylfaen" w:hAnsi="Sylfaen" w:cstheme="minorHAnsi"/>
          <w:b/>
          <w:sz w:val="24"/>
          <w:szCs w:val="24"/>
          <w:lang w:val="ka-GE"/>
        </w:rPr>
        <w:t xml:space="preserve">ინფორმაცია </w:t>
      </w:r>
    </w:p>
    <w:p w:rsidR="00611267" w:rsidRDefault="00611267" w:rsidP="00F14744">
      <w:pPr>
        <w:spacing w:line="276" w:lineRule="auto"/>
        <w:jc w:val="center"/>
        <w:rPr>
          <w:rFonts w:ascii="Sylfaen" w:hAnsi="Sylfaen" w:cstheme="minorHAnsi"/>
          <w:b/>
          <w:sz w:val="24"/>
          <w:szCs w:val="24"/>
          <w:lang w:val="ka-GE"/>
        </w:rPr>
      </w:pPr>
      <w:r w:rsidRPr="00730F88">
        <w:rPr>
          <w:rFonts w:ascii="Sylfaen" w:hAnsi="Sylfaen" w:cstheme="minorHAnsi"/>
          <w:b/>
          <w:noProof/>
          <w:sz w:val="24"/>
          <w:szCs w:val="24"/>
          <w:lang w:val="ka-GE"/>
        </w:rPr>
        <w:t>,,საქართველოს</w:t>
      </w:r>
      <w:r w:rsidR="003E05A6" w:rsidRPr="00730F88">
        <w:rPr>
          <w:rFonts w:ascii="Sylfaen" w:hAnsi="Sylfaen" w:cstheme="minorHAnsi"/>
          <w:b/>
          <w:noProof/>
          <w:sz w:val="24"/>
          <w:szCs w:val="24"/>
          <w:lang w:val="ka-GE"/>
        </w:rPr>
        <w:t xml:space="preserve"> 202</w:t>
      </w:r>
      <w:r w:rsidR="00E01ED5" w:rsidRPr="00730F88">
        <w:rPr>
          <w:rFonts w:ascii="Sylfaen" w:hAnsi="Sylfaen" w:cstheme="minorHAnsi"/>
          <w:b/>
          <w:noProof/>
          <w:sz w:val="24"/>
          <w:szCs w:val="24"/>
          <w:lang w:val="ka-GE"/>
        </w:rPr>
        <w:t>1</w:t>
      </w:r>
      <w:r w:rsidR="003E05A6" w:rsidRPr="00730F88">
        <w:rPr>
          <w:rFonts w:ascii="Sylfaen" w:hAnsi="Sylfaen" w:cstheme="minorHAnsi"/>
          <w:b/>
          <w:noProof/>
          <w:sz w:val="24"/>
          <w:szCs w:val="24"/>
          <w:lang w:val="ka-GE"/>
        </w:rPr>
        <w:t xml:space="preserve"> </w:t>
      </w:r>
      <w:r w:rsidRPr="00730F88">
        <w:rPr>
          <w:rFonts w:ascii="Sylfaen" w:hAnsi="Sylfaen" w:cstheme="minorHAnsi"/>
          <w:b/>
          <w:noProof/>
          <w:sz w:val="24"/>
          <w:szCs w:val="24"/>
          <w:lang w:val="ka-GE"/>
        </w:rPr>
        <w:t xml:space="preserve">წლის სახელმწიფო ბიუჯეტის შესახებ“ საქართველოს </w:t>
      </w:r>
      <w:r w:rsidR="00E01ED5" w:rsidRPr="00730F88">
        <w:rPr>
          <w:rFonts w:ascii="Sylfaen" w:hAnsi="Sylfaen" w:cstheme="minorHAnsi"/>
          <w:b/>
          <w:noProof/>
          <w:sz w:val="24"/>
          <w:szCs w:val="24"/>
          <w:lang w:val="ka-GE"/>
        </w:rPr>
        <w:t>კანონ</w:t>
      </w:r>
      <w:r w:rsidRPr="00730F88">
        <w:rPr>
          <w:rFonts w:ascii="Sylfaen" w:hAnsi="Sylfaen" w:cstheme="minorHAnsi"/>
          <w:b/>
          <w:noProof/>
          <w:sz w:val="24"/>
          <w:szCs w:val="24"/>
          <w:lang w:val="ka-GE"/>
        </w:rPr>
        <w:t>ი</w:t>
      </w:r>
      <w:r w:rsidR="00E01ED5" w:rsidRPr="00730F88">
        <w:rPr>
          <w:rFonts w:ascii="Sylfaen" w:hAnsi="Sylfaen" w:cstheme="minorHAnsi"/>
          <w:b/>
          <w:noProof/>
          <w:sz w:val="24"/>
          <w:szCs w:val="24"/>
          <w:lang w:val="ka-GE"/>
        </w:rPr>
        <w:t>ს პროექტზე</w:t>
      </w:r>
      <w:r w:rsidR="00AF7BC4" w:rsidRPr="00730F88">
        <w:rPr>
          <w:rFonts w:ascii="Sylfaen" w:hAnsi="Sylfaen" w:cstheme="minorHAnsi"/>
          <w:b/>
          <w:noProof/>
          <w:sz w:val="24"/>
          <w:szCs w:val="24"/>
          <w:lang w:val="ka-GE"/>
        </w:rPr>
        <w:t xml:space="preserve"> </w:t>
      </w:r>
      <w:r w:rsidR="00F14744" w:rsidRPr="00730F88">
        <w:rPr>
          <w:rFonts w:ascii="Sylfaen" w:hAnsi="Sylfaen" w:cstheme="minorHAnsi"/>
          <w:b/>
          <w:sz w:val="24"/>
          <w:szCs w:val="24"/>
          <w:lang w:val="ka-GE"/>
        </w:rPr>
        <w:t xml:space="preserve">საქართველოს პარლამენტის </w:t>
      </w:r>
      <w:r w:rsidR="00AB62D0" w:rsidRPr="00730F88">
        <w:rPr>
          <w:rFonts w:ascii="Sylfaen" w:hAnsi="Sylfaen" w:cstheme="minorHAnsi"/>
          <w:b/>
          <w:sz w:val="24"/>
          <w:szCs w:val="24"/>
          <w:lang w:val="ka-GE"/>
        </w:rPr>
        <w:t>საფინანსო-საბიუჯეტო კომიტეტის</w:t>
      </w:r>
      <w:r w:rsidR="00AF7BC4" w:rsidRPr="00730F88">
        <w:rPr>
          <w:rFonts w:ascii="Sylfaen" w:hAnsi="Sylfaen" w:cstheme="minorHAnsi"/>
          <w:b/>
          <w:sz w:val="24"/>
          <w:szCs w:val="24"/>
          <w:lang w:val="ka-GE"/>
        </w:rPr>
        <w:t xml:space="preserve"> რეკომენდაციების გათვალისწინების შესაძლებლობის შესახებ</w:t>
      </w:r>
    </w:p>
    <w:p w:rsidR="00337514" w:rsidRDefault="00337514" w:rsidP="00337514">
      <w:pPr>
        <w:spacing w:line="276" w:lineRule="auto"/>
        <w:jc w:val="both"/>
        <w:rPr>
          <w:rFonts w:ascii="Sylfaen" w:hAnsi="Sylfaen" w:cstheme="minorHAnsi"/>
          <w:lang w:val="ka-GE"/>
        </w:rPr>
      </w:pPr>
      <w:r>
        <w:rPr>
          <w:rFonts w:ascii="Sylfaen" w:hAnsi="Sylfaen" w:cstheme="minorHAnsi"/>
          <w:lang w:val="ka-GE"/>
        </w:rPr>
        <w:tab/>
        <w:t xml:space="preserve">იმ ფაქტის გათვალისწინებით, რომ </w:t>
      </w:r>
      <w:r>
        <w:rPr>
          <w:rFonts w:ascii="Sylfaen" w:hAnsi="Sylfaen" w:cstheme="minorHAnsi"/>
        </w:rPr>
        <w:t>COVID-19</w:t>
      </w:r>
      <w:r>
        <w:rPr>
          <w:rFonts w:ascii="Sylfaen" w:hAnsi="Sylfaen" w:cstheme="minorHAnsi"/>
          <w:lang w:val="ka-GE"/>
        </w:rPr>
        <w:t xml:space="preserve">-ის პანდემიის გავრცელების გააქტიურებიდან გამომდინარე 2021 წლის მაკროეკონომიკური და ფისკალური პარამეტრების განახლება </w:t>
      </w:r>
      <w:r w:rsidR="000F7ED9">
        <w:rPr>
          <w:rFonts w:ascii="Sylfaen" w:hAnsi="Sylfaen" w:cstheme="minorHAnsi"/>
          <w:lang w:val="ka-GE"/>
        </w:rPr>
        <w:t>და მათი</w:t>
      </w:r>
      <w:r w:rsidR="00046675">
        <w:rPr>
          <w:rFonts w:ascii="Sylfaen" w:hAnsi="Sylfaen" w:cstheme="minorHAnsi"/>
          <w:lang w:val="ka-GE"/>
        </w:rPr>
        <w:t xml:space="preserve"> </w:t>
      </w:r>
      <w:r>
        <w:rPr>
          <w:rFonts w:ascii="Sylfaen" w:hAnsi="Sylfaen" w:cstheme="minorHAnsi"/>
          <w:lang w:val="ka-GE"/>
        </w:rPr>
        <w:t>საერთაშორისო სავალუტო ფონდთან</w:t>
      </w:r>
      <w:r w:rsidR="00046675">
        <w:rPr>
          <w:rFonts w:ascii="Sylfaen" w:hAnsi="Sylfaen" w:cstheme="minorHAnsi"/>
          <w:lang w:val="ka-GE"/>
        </w:rPr>
        <w:t xml:space="preserve"> შეთანხმებ</w:t>
      </w:r>
      <w:r w:rsidR="000F7ED9">
        <w:rPr>
          <w:rFonts w:ascii="Sylfaen" w:hAnsi="Sylfaen" w:cstheme="minorHAnsi"/>
          <w:lang w:val="ka-GE"/>
        </w:rPr>
        <w:t>ა კვლავაც მიმდინარეობს</w:t>
      </w:r>
      <w:r>
        <w:rPr>
          <w:rFonts w:ascii="Sylfaen" w:hAnsi="Sylfaen" w:cstheme="minorHAnsi"/>
          <w:lang w:val="ka-GE"/>
        </w:rPr>
        <w:t xml:space="preserve">, მეორე წარდგენისათვის </w:t>
      </w:r>
      <w:r w:rsidR="00D95AB5">
        <w:rPr>
          <w:rFonts w:ascii="Sylfaen" w:hAnsi="Sylfaen" w:cstheme="minorHAnsi"/>
          <w:lang w:val="ka-GE"/>
        </w:rPr>
        <w:t xml:space="preserve">„საქართველოს 2021 წლის სახელმწიფო </w:t>
      </w:r>
      <w:r>
        <w:rPr>
          <w:rFonts w:ascii="Sylfaen" w:hAnsi="Sylfaen" w:cstheme="minorHAnsi"/>
          <w:lang w:val="ka-GE"/>
        </w:rPr>
        <w:t>ბიუჯეტის</w:t>
      </w:r>
      <w:r w:rsidR="00D95AB5">
        <w:rPr>
          <w:rFonts w:ascii="Sylfaen" w:hAnsi="Sylfaen" w:cstheme="minorHAnsi"/>
          <w:lang w:val="ka-GE"/>
        </w:rPr>
        <w:t xml:space="preserve"> შესახებ“ საქართველოს</w:t>
      </w:r>
      <w:r>
        <w:rPr>
          <w:rFonts w:ascii="Sylfaen" w:hAnsi="Sylfaen" w:cstheme="minorHAnsi"/>
          <w:lang w:val="ka-GE"/>
        </w:rPr>
        <w:t xml:space="preserve"> კანონის პროექტი წარმოდგენილია იგივე ვერსიით, </w:t>
      </w:r>
      <w:r w:rsidR="000F7ED9">
        <w:rPr>
          <w:rFonts w:ascii="Sylfaen" w:hAnsi="Sylfaen" w:cstheme="minorHAnsi"/>
          <w:lang w:val="ka-GE"/>
        </w:rPr>
        <w:t>როგორც ის</w:t>
      </w:r>
      <w:r>
        <w:rPr>
          <w:rFonts w:ascii="Sylfaen" w:hAnsi="Sylfaen" w:cstheme="minorHAnsi"/>
          <w:lang w:val="ka-GE"/>
        </w:rPr>
        <w:t xml:space="preserve"> წარედგინა საქართველოს პარლამენტს საბიუჯეტო კოდექსით გათვალისწინებული პირველი წარდგენისათვის.</w:t>
      </w:r>
    </w:p>
    <w:p w:rsidR="00337514" w:rsidRPr="00364BFE" w:rsidRDefault="00337514" w:rsidP="00337514">
      <w:pPr>
        <w:spacing w:line="276" w:lineRule="auto"/>
        <w:jc w:val="both"/>
        <w:rPr>
          <w:rFonts w:ascii="Sylfaen" w:hAnsi="Sylfaen" w:cstheme="minorHAnsi"/>
        </w:rPr>
      </w:pPr>
      <w:r>
        <w:rPr>
          <w:rFonts w:ascii="Sylfaen" w:hAnsi="Sylfaen" w:cstheme="minorHAnsi"/>
          <w:lang w:val="ka-GE"/>
        </w:rPr>
        <w:tab/>
      </w:r>
      <w:r w:rsidR="000F7ED9">
        <w:rPr>
          <w:rFonts w:ascii="Sylfaen" w:hAnsi="Sylfaen" w:cstheme="minorHAnsi"/>
          <w:lang w:val="ka-GE"/>
        </w:rPr>
        <w:t>საქართველოს ფინანსთა სამინისტრო აგრძელებს</w:t>
      </w:r>
      <w:r>
        <w:rPr>
          <w:rFonts w:ascii="Sylfaen" w:hAnsi="Sylfaen" w:cstheme="minorHAnsi"/>
          <w:lang w:val="ka-GE"/>
        </w:rPr>
        <w:t xml:space="preserve"> მუშაობა</w:t>
      </w:r>
      <w:r w:rsidR="000F7ED9">
        <w:rPr>
          <w:rFonts w:ascii="Sylfaen" w:hAnsi="Sylfaen" w:cstheme="minorHAnsi"/>
          <w:lang w:val="ka-GE"/>
        </w:rPr>
        <w:t>ს</w:t>
      </w:r>
      <w:r>
        <w:rPr>
          <w:rFonts w:ascii="Sylfaen" w:hAnsi="Sylfaen" w:cstheme="minorHAnsi"/>
          <w:lang w:val="ka-GE"/>
        </w:rPr>
        <w:t xml:space="preserve"> </w:t>
      </w:r>
      <w:r w:rsidR="00364BFE">
        <w:rPr>
          <w:rFonts w:ascii="Sylfaen" w:hAnsi="Sylfaen" w:cstheme="minorHAnsi"/>
          <w:lang w:val="ka-GE"/>
        </w:rPr>
        <w:t>მხარჯავ დაწესებულებებთან და</w:t>
      </w:r>
      <w:r w:rsidR="00D95AB5">
        <w:rPr>
          <w:rFonts w:ascii="Sylfaen" w:hAnsi="Sylfaen" w:cstheme="minorHAnsi"/>
          <w:lang w:val="ka-GE"/>
        </w:rPr>
        <w:t xml:space="preserve"> საქართველოს მთავრობა უზრუნველყოფს საქართველოს პარლამენტის საფინანსო-საბიუჯეტო კომიტეტის მიერ წარმოდგენილი რეკომენდაციების განხილვას და შესაძლებლობის ფარგლებში მათ გათვალისწინებას „საქართველოს 2021 წლის სახელმწიფო ბიუჯეტის შესახებ“ საქართველოს კანონის პროექტის საბოლოო ვარიანტში, საქართველოს საბიუჯეტო კოდექსით გათვალისწინებული მესამე წარდგენისას.</w:t>
      </w:r>
      <w:r w:rsidR="00364BFE">
        <w:rPr>
          <w:rFonts w:ascii="Sylfaen" w:hAnsi="Sylfaen" w:cstheme="minorHAnsi"/>
          <w:lang w:val="ka-GE"/>
        </w:rPr>
        <w:t xml:space="preserve"> 2021 წლის ბიუჯეტის </w:t>
      </w:r>
      <w:r w:rsidR="000F7ED9">
        <w:rPr>
          <w:rFonts w:ascii="Sylfaen" w:hAnsi="Sylfaen" w:cstheme="minorHAnsi"/>
          <w:lang w:val="ka-GE"/>
        </w:rPr>
        <w:t>პროექტის საბოლოო ვარიანტში</w:t>
      </w:r>
      <w:r w:rsidR="00D95AB5">
        <w:rPr>
          <w:rFonts w:ascii="Sylfaen" w:hAnsi="Sylfaen" w:cstheme="minorHAnsi"/>
          <w:lang w:val="ka-GE"/>
        </w:rPr>
        <w:t xml:space="preserve"> ასევე</w:t>
      </w:r>
      <w:r w:rsidR="000F7ED9">
        <w:rPr>
          <w:rFonts w:ascii="Sylfaen" w:hAnsi="Sylfaen" w:cstheme="minorHAnsi"/>
          <w:lang w:val="ka-GE"/>
        </w:rPr>
        <w:t xml:space="preserve"> აისახება </w:t>
      </w:r>
      <w:r w:rsidR="00364BFE">
        <w:rPr>
          <w:rFonts w:ascii="Sylfaen" w:hAnsi="Sylfaen" w:cstheme="minorHAnsi"/>
          <w:lang w:val="ka-GE"/>
        </w:rPr>
        <w:t xml:space="preserve"> </w:t>
      </w:r>
      <w:r w:rsidR="000F7ED9">
        <w:rPr>
          <w:rFonts w:ascii="Sylfaen" w:hAnsi="Sylfaen" w:cstheme="minorHAnsi"/>
        </w:rPr>
        <w:t>COVID-19-</w:t>
      </w:r>
      <w:r w:rsidR="000F7ED9">
        <w:rPr>
          <w:rFonts w:ascii="Sylfaen" w:hAnsi="Sylfaen" w:cstheme="minorHAnsi"/>
          <w:lang w:val="ka-GE"/>
        </w:rPr>
        <w:t xml:space="preserve">ის პანდემიის </w:t>
      </w:r>
      <w:r w:rsidR="00D95AB5">
        <w:rPr>
          <w:rFonts w:ascii="Sylfaen" w:hAnsi="Sylfaen" w:cstheme="minorHAnsi"/>
          <w:lang w:val="ka-GE"/>
        </w:rPr>
        <w:t xml:space="preserve">მართვის </w:t>
      </w:r>
      <w:r w:rsidR="000F7ED9">
        <w:rPr>
          <w:rFonts w:ascii="Sylfaen" w:hAnsi="Sylfaen" w:cstheme="minorHAnsi"/>
          <w:lang w:val="ka-GE"/>
        </w:rPr>
        <w:t>და მასთან დაკ</w:t>
      </w:r>
      <w:r w:rsidR="00D95AB5">
        <w:rPr>
          <w:rFonts w:ascii="Sylfaen" w:hAnsi="Sylfaen" w:cstheme="minorHAnsi"/>
          <w:lang w:val="ka-GE"/>
        </w:rPr>
        <w:t>ა</w:t>
      </w:r>
      <w:r w:rsidR="000F7ED9">
        <w:rPr>
          <w:rFonts w:ascii="Sylfaen" w:hAnsi="Sylfaen" w:cstheme="minorHAnsi"/>
          <w:lang w:val="ka-GE"/>
        </w:rPr>
        <w:t>ვშირებული სოციალური და ბიზნესის ხელმშეწყობი ღონისძიებების დაფინანსება</w:t>
      </w:r>
      <w:r w:rsidR="00D95AB5">
        <w:rPr>
          <w:rFonts w:ascii="Sylfaen" w:hAnsi="Sylfaen" w:cstheme="minorHAnsi"/>
          <w:lang w:val="ka-GE"/>
        </w:rPr>
        <w:t xml:space="preserve">. </w:t>
      </w:r>
    </w:p>
    <w:tbl>
      <w:tblPr>
        <w:tblStyle w:val="TableGrid"/>
        <w:tblW w:w="5004" w:type="pct"/>
        <w:tblInd w:w="-5" w:type="dxa"/>
        <w:tblLook w:val="04A0" w:firstRow="1" w:lastRow="0" w:firstColumn="1" w:lastColumn="0" w:noHBand="0" w:noVBand="1"/>
      </w:tblPr>
      <w:tblGrid>
        <w:gridCol w:w="6835"/>
        <w:gridCol w:w="6125"/>
      </w:tblGrid>
      <w:tr w:rsidR="00D95AB5" w:rsidRPr="00730F88" w:rsidTr="001652AF">
        <w:trPr>
          <w:tblHeader/>
        </w:trPr>
        <w:tc>
          <w:tcPr>
            <w:tcW w:w="2637" w:type="pct"/>
          </w:tcPr>
          <w:p w:rsidR="00D95AB5" w:rsidRPr="00730F88" w:rsidRDefault="00364BFE" w:rsidP="00F14744">
            <w:pPr>
              <w:spacing w:line="276" w:lineRule="auto"/>
              <w:jc w:val="center"/>
              <w:rPr>
                <w:rFonts w:ascii="Sylfaen" w:hAnsi="Sylfaen" w:cstheme="minorHAnsi"/>
                <w:b/>
                <w:lang w:val="ka-GE"/>
              </w:rPr>
            </w:pPr>
            <w:r>
              <w:rPr>
                <w:rFonts w:ascii="Sylfaen" w:hAnsi="Sylfaen" w:cstheme="minorHAnsi"/>
                <w:lang w:val="ka-GE"/>
              </w:rPr>
              <w:tab/>
            </w:r>
            <w:r w:rsidR="00D95AB5" w:rsidRPr="00730F88">
              <w:rPr>
                <w:rFonts w:ascii="Sylfaen" w:hAnsi="Sylfaen" w:cstheme="minorHAnsi"/>
                <w:b/>
                <w:lang w:val="ka-GE"/>
              </w:rPr>
              <w:t>რეკომენდაცია</w:t>
            </w:r>
          </w:p>
        </w:tc>
        <w:tc>
          <w:tcPr>
            <w:tcW w:w="2363" w:type="pct"/>
          </w:tcPr>
          <w:p w:rsidR="00D95AB5" w:rsidRPr="00730F88" w:rsidRDefault="00D95AB5" w:rsidP="00F14744">
            <w:pPr>
              <w:spacing w:line="276" w:lineRule="auto"/>
              <w:jc w:val="center"/>
              <w:rPr>
                <w:rFonts w:ascii="Sylfaen" w:hAnsi="Sylfaen" w:cstheme="minorHAnsi"/>
                <w:b/>
                <w:lang w:val="ka-GE"/>
              </w:rPr>
            </w:pPr>
            <w:r w:rsidRPr="00730F88">
              <w:rPr>
                <w:rFonts w:ascii="Sylfaen" w:hAnsi="Sylfaen" w:cstheme="minorHAnsi"/>
                <w:b/>
                <w:lang w:val="ka-GE"/>
              </w:rPr>
              <w:t>რეკომენდაციის გათვალისწინების შესაძლებლობა</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bCs/>
                <w:noProof/>
                <w:lang w:val="ka-GE"/>
              </w:rPr>
            </w:pPr>
            <w:r w:rsidRPr="00730F88">
              <w:rPr>
                <w:rFonts w:ascii="Sylfaen" w:hAnsi="Sylfaen" w:cstheme="minorHAnsi"/>
              </w:rPr>
              <w:t xml:space="preserve">კომიტეტი სრულად იზიარებს მთავრობის პოზიციას, რომ პანდემიიდან გამომდინარე, გაზრდილია რისკები, რაც ართულებს შემოსავლებისა და ხარჯების ზუსტ პროგნოზირებას. უფრო სრულყოფილი ინფორმაცია მაკროეკონომიკური პარამეტრები შესახებ წარმოდგენილი იქნება ბიუჯეტის პროექტის საბოლოო ვარიანტში. კომიტეტი აფასებს იმ მაკროეკონომიკურ პარამეტრებს, რომლებიც მთავრობის მიერ პარლამენტში არის წარმოდგენილი, კერძოდ, 2021 წლისათვის მოსალოდნელია მშპ-ის რეალური ზრდა 5.0%-ის დონეზე, რაც სრულად შეესაბამება საერთაშორისო სავალუტო ფონდის (IMF) განახლებულ პროგნოზს. მშპ-ის დეფლატორი პროგნოზირებულია 4%-ის ფარგლებში, ნომინალური მშპ-ს ზრდა - 9.2%-ის დონეზე, რაც ნიშნავს ნომინალური მშპ-ს ზრდას მიმდინარე წლის </w:t>
            </w:r>
            <w:r w:rsidRPr="00730F88">
              <w:rPr>
                <w:rFonts w:ascii="Sylfaen" w:hAnsi="Sylfaen" w:cstheme="minorHAnsi"/>
              </w:rPr>
              <w:lastRenderedPageBreak/>
              <w:t>მოსალოდნელ მაჩვენებელთან შედარებით 4 593.7 მლნ ლარით. შესაბამისად, აღნიშნული მაკროეკონომიკური პროგნოზებიდან გამომდინარე, ბიუჯეტში შემოსავლების, მათ შორის, საგადასახადო შემოსავლების სახით წარმოდგენილ საპროგნოზო მაჩვენებლებთან შედარებით შესაძლებელია მეტი ფულადი სახსრების აკუმულირება;</w:t>
            </w:r>
          </w:p>
        </w:tc>
        <w:tc>
          <w:tcPr>
            <w:tcW w:w="2363" w:type="pct"/>
          </w:tcPr>
          <w:p w:rsidR="00D95AB5" w:rsidRDefault="00D95AB5" w:rsidP="00363AE5">
            <w:pPr>
              <w:spacing w:line="276" w:lineRule="auto"/>
              <w:jc w:val="both"/>
              <w:rPr>
                <w:rFonts w:ascii="Sylfaen" w:hAnsi="Sylfaen" w:cstheme="minorHAnsi"/>
                <w:lang w:val="ka-GE"/>
              </w:rPr>
            </w:pPr>
          </w:p>
          <w:p w:rsidR="00D95AB5" w:rsidRPr="00D95AB5" w:rsidRDefault="00D95AB5" w:rsidP="005E05F5">
            <w:pPr>
              <w:spacing w:line="276" w:lineRule="auto"/>
              <w:jc w:val="both"/>
              <w:rPr>
                <w:rFonts w:ascii="Sylfaen" w:hAnsi="Sylfaen" w:cstheme="minorHAnsi"/>
                <w:lang w:val="ka-GE"/>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pStyle w:val="Normal0"/>
              <w:tabs>
                <w:tab w:val="left" w:pos="90"/>
              </w:tabs>
              <w:spacing w:line="276" w:lineRule="auto"/>
              <w:jc w:val="both"/>
              <w:rPr>
                <w:rFonts w:ascii="Sylfaen" w:hAnsi="Sylfaen" w:cstheme="minorHAnsi"/>
                <w:sz w:val="22"/>
                <w:szCs w:val="22"/>
                <w:lang w:val="ka-GE"/>
              </w:rPr>
            </w:pPr>
            <w:r w:rsidRPr="00730F88">
              <w:rPr>
                <w:rFonts w:ascii="Sylfaen" w:hAnsi="Sylfaen" w:cstheme="minorHAnsi"/>
                <w:sz w:val="22"/>
                <w:szCs w:val="22"/>
              </w:rPr>
              <w:t>რეგიონში არსებული გეოპოლიტიკური რისკების, კერძოდ, სამხედრო პოლიტიკური მდგომარეობის გათვალისწინებით, მნიშვნელოვანია ქვეყნის უსაფრთხოების გაძლიერების მიზნით შესაძლებელობების ფარგლებში გაიზარდოს ასიგნებები ძალოვანი სტრუქტურებისათვის, რაც აუცილებელია მათთვის საქართველოს კანონმდებლობით დაკისრებული ფუნქციებისა და ქვეყნის წინაშე არსებული გამოწვევების ეფექტიანად დაძლევის უზრუნველსაყოფად;</w:t>
            </w:r>
          </w:p>
        </w:tc>
        <w:tc>
          <w:tcPr>
            <w:tcW w:w="2363" w:type="pct"/>
          </w:tcPr>
          <w:p w:rsidR="00D95AB5" w:rsidRPr="00730F88" w:rsidRDefault="00D95AB5" w:rsidP="00E01ED5">
            <w:pPr>
              <w:spacing w:line="276" w:lineRule="auto"/>
              <w:jc w:val="both"/>
              <w:rPr>
                <w:rFonts w:ascii="Sylfaen" w:hAnsi="Sylfaen" w:cstheme="minorHAnsi"/>
                <w:lang w:val="ka-GE"/>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bCs/>
                <w:noProof/>
                <w:lang w:val="ka-GE"/>
              </w:rPr>
            </w:pPr>
            <w:r w:rsidRPr="00730F88">
              <w:rPr>
                <w:rFonts w:ascii="Sylfaen" w:hAnsi="Sylfaen" w:cstheme="minorHAnsi"/>
              </w:rPr>
              <w:t>აუცილებელია ვეტერანთა მატერიალურ-სოციალურ მდგომარეობის გაუმჯობესების მიზნით, გაიზარდოს მათთვის მოქმედი სოციალური პაკეტები. გასათვალისწინებელია, რომ აღნიშნული წინადადება 2020 წლის ბიუჯეტის პროექტის განხილვის დროს საფინანსო-საბიუჯეტო კომიტეტის დასკვნაშიც იყო დაფიქსირებული. ამ საკითხზე უნდა გაგრძელდეს მუშაობა და ბიუჯეტში გამოინახოს სათანადო სახსრები;</w:t>
            </w:r>
          </w:p>
        </w:tc>
        <w:tc>
          <w:tcPr>
            <w:tcW w:w="2363" w:type="pct"/>
          </w:tcPr>
          <w:p w:rsidR="00D95AB5" w:rsidRPr="00730F88" w:rsidRDefault="00D95AB5" w:rsidP="00F14744">
            <w:pPr>
              <w:spacing w:line="276" w:lineRule="auto"/>
              <w:jc w:val="both"/>
              <w:rPr>
                <w:rFonts w:ascii="Sylfaen" w:hAnsi="Sylfaen" w:cstheme="minorHAnsi"/>
                <w:lang w:val="ka-GE"/>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bCs/>
                <w:noProof/>
                <w:lang w:val="ka-GE"/>
              </w:rPr>
            </w:pPr>
            <w:r w:rsidRPr="00730F88">
              <w:rPr>
                <w:rFonts w:ascii="Sylfaen" w:hAnsi="Sylfaen" w:cstheme="minorHAnsi"/>
              </w:rPr>
              <w:t>საქართველოს პარლამენტის მიერ მიღებულ იქნა არაერთი კანონი გარემოსდაცვით საკითხებზე, მათ შორის, „საქართველოს ტყის კოდექსი“. კიდევ ერთხელ იქნეს გაანალიზებული მიღებული კანონები, რათა არ შეფერხდეს მათი ამოქმედება და უზრუნველყოფილ იქნეს მატერიალურად;</w:t>
            </w:r>
          </w:p>
        </w:tc>
        <w:tc>
          <w:tcPr>
            <w:tcW w:w="2363" w:type="pct"/>
          </w:tcPr>
          <w:p w:rsidR="00D95AB5" w:rsidRPr="00730F88" w:rsidRDefault="00D95AB5" w:rsidP="00FA7E90">
            <w:pPr>
              <w:spacing w:line="276" w:lineRule="auto"/>
              <w:jc w:val="both"/>
              <w:rPr>
                <w:rFonts w:ascii="Sylfaen" w:hAnsi="Sylfaen" w:cstheme="minorHAnsi"/>
                <w:lang w:val="ka-GE"/>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bCs/>
                <w:noProof/>
                <w:lang w:val="ka-GE"/>
              </w:rPr>
            </w:pPr>
            <w:r w:rsidRPr="00730F88">
              <w:rPr>
                <w:rFonts w:ascii="Sylfaen" w:hAnsi="Sylfaen" w:cstheme="minorHAnsi"/>
              </w:rPr>
              <w:t xml:space="preserve">საქართველოს პარლამენტის მიერ მიღებულ იქნა „ბავშვის უფლებათა კოდექსი“. წარმოდგენილი ბიუჯეტის პროექტით გათვალისწინებულია შესაბამისი ფულადი სახსრები. </w:t>
            </w:r>
            <w:r w:rsidRPr="00730F88">
              <w:rPr>
                <w:rFonts w:ascii="Sylfaen" w:hAnsi="Sylfaen" w:cstheme="minorHAnsi"/>
              </w:rPr>
              <w:lastRenderedPageBreak/>
              <w:t>კანონმდებლობით გათვალისწინებული ახალი რეგულაციების ეტაპობრივად ამოქმედების პარალელურად უნდა მოხდეს მათი დაფინანსება;</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lastRenderedPageBreak/>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უზრუნველყოფილი უნდა იქნეს საქართველოს პარლამენტის მიერ მიღებული „შეზღუდული შესაძლებლობების მქონე პირთა უფლებების შესახებ“ საქართველოს კანონით გათვალისწინებული ყველა ვალდებულების შესრულება;</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032C1E" w:rsidRPr="00730F88" w:rsidTr="001652AF">
        <w:tc>
          <w:tcPr>
            <w:tcW w:w="2637" w:type="pct"/>
          </w:tcPr>
          <w:p w:rsidR="00032C1E" w:rsidRPr="00730F88" w:rsidRDefault="00032C1E" w:rsidP="00F14744">
            <w:pPr>
              <w:tabs>
                <w:tab w:val="left" w:pos="0"/>
              </w:tabs>
              <w:spacing w:line="276" w:lineRule="auto"/>
              <w:jc w:val="both"/>
              <w:rPr>
                <w:rFonts w:ascii="Sylfaen" w:hAnsi="Sylfaen" w:cstheme="minorHAnsi"/>
              </w:rPr>
            </w:pPr>
            <w:r>
              <w:rPr>
                <w:rFonts w:ascii="Sylfaen" w:hAnsi="Sylfaen" w:cs="Sylfaen"/>
              </w:rPr>
              <w:t>მიზანშეწონილია</w:t>
            </w:r>
            <w:r>
              <w:rPr>
                <w:rFonts w:cstheme="minorHAnsi"/>
              </w:rPr>
              <w:t xml:space="preserve">, </w:t>
            </w:r>
            <w:r>
              <w:rPr>
                <w:rFonts w:ascii="Sylfaen" w:hAnsi="Sylfaen" w:cs="Sylfaen"/>
              </w:rPr>
              <w:t>პროგრამების</w:t>
            </w:r>
            <w:r>
              <w:rPr>
                <w:rFonts w:cstheme="minorHAnsi"/>
              </w:rPr>
              <w:t xml:space="preserve"> - ,,</w:t>
            </w:r>
            <w:r>
              <w:rPr>
                <w:rFonts w:ascii="Sylfaen" w:hAnsi="Sylfaen" w:cs="Sylfaen"/>
              </w:rPr>
              <w:t>ოლიმპიური</w:t>
            </w:r>
            <w:r>
              <w:rPr>
                <w:rFonts w:cstheme="minorHAnsi"/>
              </w:rPr>
              <w:t xml:space="preserve"> </w:t>
            </w:r>
            <w:r>
              <w:rPr>
                <w:rFonts w:ascii="Sylfaen" w:hAnsi="Sylfaen" w:cs="Sylfaen"/>
              </w:rPr>
              <w:t>მოძრაობის</w:t>
            </w:r>
            <w:r>
              <w:rPr>
                <w:rFonts w:cstheme="minorHAnsi"/>
              </w:rPr>
              <w:t xml:space="preserve"> </w:t>
            </w:r>
            <w:r>
              <w:rPr>
                <w:rFonts w:ascii="Sylfaen" w:hAnsi="Sylfaen" w:cs="Sylfaen"/>
              </w:rPr>
              <w:t>სახელმწიფო</w:t>
            </w:r>
            <w:r>
              <w:rPr>
                <w:rFonts w:cstheme="minorHAnsi"/>
              </w:rPr>
              <w:t xml:space="preserve"> </w:t>
            </w:r>
            <w:r>
              <w:rPr>
                <w:rFonts w:ascii="Sylfaen" w:hAnsi="Sylfaen" w:cs="Sylfaen"/>
              </w:rPr>
              <w:t>მხარდაჭერა</w:t>
            </w:r>
            <w:r>
              <w:rPr>
                <w:rFonts w:cstheme="minorHAnsi"/>
              </w:rPr>
              <w:t>“ (</w:t>
            </w:r>
            <w:r>
              <w:rPr>
                <w:rFonts w:ascii="Sylfaen" w:hAnsi="Sylfaen" w:cs="Sylfaen"/>
              </w:rPr>
              <w:t>პრო</w:t>
            </w:r>
            <w:bookmarkStart w:id="0" w:name="_GoBack"/>
            <w:bookmarkEnd w:id="0"/>
            <w:r>
              <w:rPr>
                <w:rFonts w:ascii="Sylfaen" w:hAnsi="Sylfaen" w:cs="Sylfaen"/>
              </w:rPr>
              <w:t>გრამული</w:t>
            </w:r>
            <w:r>
              <w:rPr>
                <w:rFonts w:cstheme="minorHAnsi"/>
              </w:rPr>
              <w:t xml:space="preserve"> </w:t>
            </w:r>
            <w:r>
              <w:rPr>
                <w:rFonts w:ascii="Sylfaen" w:hAnsi="Sylfaen" w:cs="Sylfaen"/>
              </w:rPr>
              <w:t>კოდი</w:t>
            </w:r>
            <w:r>
              <w:rPr>
                <w:rFonts w:cstheme="minorHAnsi"/>
              </w:rPr>
              <w:t xml:space="preserve"> 32 11 05) </w:t>
            </w:r>
            <w:r>
              <w:rPr>
                <w:rFonts w:ascii="Sylfaen" w:hAnsi="Sylfaen" w:cs="Sylfaen"/>
              </w:rPr>
              <w:t>და</w:t>
            </w:r>
            <w:r>
              <w:rPr>
                <w:rFonts w:cstheme="minorHAnsi"/>
              </w:rPr>
              <w:t xml:space="preserve"> „</w:t>
            </w:r>
            <w:r>
              <w:rPr>
                <w:rFonts w:ascii="Sylfaen" w:hAnsi="Sylfaen" w:cs="Sylfaen"/>
              </w:rPr>
              <w:t>ოლიმპიადასთან</w:t>
            </w:r>
            <w:r>
              <w:rPr>
                <w:rFonts w:cstheme="minorHAnsi"/>
              </w:rPr>
              <w:t xml:space="preserve"> </w:t>
            </w:r>
            <w:r>
              <w:rPr>
                <w:rFonts w:ascii="Sylfaen" w:hAnsi="Sylfaen" w:cs="Sylfaen"/>
              </w:rPr>
              <w:t>დაკავშირებული</w:t>
            </w:r>
            <w:r>
              <w:rPr>
                <w:rFonts w:cstheme="minorHAnsi"/>
              </w:rPr>
              <w:t xml:space="preserve"> </w:t>
            </w:r>
            <w:r>
              <w:rPr>
                <w:rFonts w:ascii="Sylfaen" w:hAnsi="Sylfaen" w:cs="Sylfaen"/>
              </w:rPr>
              <w:t>ღონისძიებების</w:t>
            </w:r>
            <w:r>
              <w:rPr>
                <w:rFonts w:cstheme="minorHAnsi"/>
              </w:rPr>
              <w:t xml:space="preserve"> </w:t>
            </w:r>
            <w:r>
              <w:rPr>
                <w:rFonts w:ascii="Sylfaen" w:hAnsi="Sylfaen" w:cs="Sylfaen"/>
              </w:rPr>
              <w:t>დაფინანსება</w:t>
            </w:r>
            <w:r>
              <w:rPr>
                <w:rFonts w:cstheme="minorHAnsi"/>
              </w:rPr>
              <w:t>“ (</w:t>
            </w:r>
            <w:r>
              <w:rPr>
                <w:rFonts w:ascii="Sylfaen" w:hAnsi="Sylfaen" w:cs="Sylfaen"/>
              </w:rPr>
              <w:t>პროგრამული</w:t>
            </w:r>
            <w:r>
              <w:rPr>
                <w:rFonts w:cstheme="minorHAnsi"/>
              </w:rPr>
              <w:t xml:space="preserve"> </w:t>
            </w:r>
            <w:r>
              <w:rPr>
                <w:rFonts w:ascii="Sylfaen" w:hAnsi="Sylfaen" w:cs="Sylfaen"/>
              </w:rPr>
              <w:t>კოდი</w:t>
            </w:r>
            <w:r>
              <w:rPr>
                <w:rFonts w:cstheme="minorHAnsi"/>
              </w:rPr>
              <w:t xml:space="preserve"> 32 11 20) </w:t>
            </w:r>
            <w:r>
              <w:rPr>
                <w:rFonts w:ascii="Sylfaen" w:hAnsi="Sylfaen" w:cs="Sylfaen"/>
              </w:rPr>
              <w:t>ასიგნებების</w:t>
            </w:r>
            <w:r>
              <w:rPr>
                <w:rFonts w:cstheme="minorHAnsi"/>
              </w:rPr>
              <w:t xml:space="preserve"> </w:t>
            </w:r>
            <w:r>
              <w:rPr>
                <w:rFonts w:ascii="Sylfaen" w:hAnsi="Sylfaen" w:cs="Sylfaen"/>
              </w:rPr>
              <w:t>ეფექტიანად</w:t>
            </w:r>
            <w:r>
              <w:rPr>
                <w:rFonts w:cstheme="minorHAnsi"/>
              </w:rPr>
              <w:t xml:space="preserve"> </w:t>
            </w:r>
            <w:r>
              <w:rPr>
                <w:rFonts w:ascii="Sylfaen" w:hAnsi="Sylfaen" w:cs="Sylfaen"/>
              </w:rPr>
              <w:t>განხორციელების</w:t>
            </w:r>
            <w:r>
              <w:rPr>
                <w:rFonts w:cstheme="minorHAnsi"/>
              </w:rPr>
              <w:t xml:space="preserve"> </w:t>
            </w:r>
            <w:r>
              <w:rPr>
                <w:rFonts w:ascii="Sylfaen" w:hAnsi="Sylfaen" w:cs="Sylfaen"/>
              </w:rPr>
              <w:t>მიზნით</w:t>
            </w:r>
            <w:r>
              <w:rPr>
                <w:rFonts w:cstheme="minorHAnsi"/>
              </w:rPr>
              <w:t xml:space="preserve">, </w:t>
            </w:r>
            <w:r>
              <w:rPr>
                <w:rFonts w:ascii="Sylfaen" w:hAnsi="Sylfaen" w:cs="Sylfaen"/>
              </w:rPr>
              <w:t>გადაიხედოს</w:t>
            </w:r>
            <w:r>
              <w:rPr>
                <w:rFonts w:cstheme="minorHAnsi"/>
              </w:rPr>
              <w:t xml:space="preserve"> </w:t>
            </w:r>
            <w:r>
              <w:rPr>
                <w:rFonts w:ascii="Sylfaen" w:hAnsi="Sylfaen" w:cs="Sylfaen"/>
              </w:rPr>
              <w:t>მათი</w:t>
            </w:r>
            <w:r>
              <w:rPr>
                <w:rFonts w:cstheme="minorHAnsi"/>
              </w:rPr>
              <w:t xml:space="preserve"> </w:t>
            </w:r>
            <w:r>
              <w:rPr>
                <w:rFonts w:ascii="Sylfaen" w:hAnsi="Sylfaen" w:cs="Sylfaen"/>
              </w:rPr>
              <w:t>გაერთიანების</w:t>
            </w:r>
            <w:r>
              <w:rPr>
                <w:rFonts w:cstheme="minorHAnsi"/>
              </w:rPr>
              <w:t xml:space="preserve"> </w:t>
            </w:r>
            <w:r>
              <w:rPr>
                <w:rFonts w:ascii="Sylfaen" w:hAnsi="Sylfaen" w:cs="Sylfaen"/>
              </w:rPr>
              <w:t>მიზანშეწონილობის</w:t>
            </w:r>
            <w:r>
              <w:rPr>
                <w:rFonts w:cstheme="minorHAnsi"/>
              </w:rPr>
              <w:t xml:space="preserve"> </w:t>
            </w:r>
            <w:r>
              <w:rPr>
                <w:rFonts w:ascii="Sylfaen" w:hAnsi="Sylfaen" w:cs="Sylfaen"/>
              </w:rPr>
              <w:t>საკითხი</w:t>
            </w:r>
            <w:r>
              <w:rPr>
                <w:rFonts w:cstheme="minorHAnsi"/>
              </w:rPr>
              <w:t>;</w:t>
            </w:r>
          </w:p>
        </w:tc>
        <w:tc>
          <w:tcPr>
            <w:tcW w:w="2363" w:type="pct"/>
          </w:tcPr>
          <w:p w:rsidR="00032C1E" w:rsidRDefault="00032C1E" w:rsidP="00C53E9E">
            <w:pPr>
              <w:spacing w:line="276" w:lineRule="auto"/>
              <w:jc w:val="both"/>
              <w:rPr>
                <w:rFonts w:ascii="Sylfaen" w:hAnsi="Sylfaen" w:cstheme="minorHAnsi"/>
                <w:lang w:val="ka-GE"/>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lang w:val="ka-GE"/>
              </w:rPr>
            </w:pPr>
            <w:r w:rsidRPr="00730F88">
              <w:rPr>
                <w:rFonts w:ascii="Sylfaen" w:hAnsi="Sylfaen" w:cstheme="minorHAnsi"/>
              </w:rPr>
              <w:t>კანონმდებლობით გათვალისწინებული ფუნქციების ეფექტიანად განხორციელების უზრუნველსაყოფად, სასურველია, საბიუჯეტო რესურსების შესაძლებლობების ფარგლებში მცირედით მაინც გაეზარდოს დაფინანსება სსიპ ახალგაზრდულ სააგენტოს;</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მომავალი წელი არის ოლიმპიური წელი. მიზანშეწონილია, განათლების, მეცნიერების, კულტურისა და სპორტის სამინისტროსა და პარლამენტის სპორტისა და ახალგაზრდულ საქმეთა კომიტეტთან ერთად კიდევ ერთხელ გაანალიზდეს შესაბამისი საჭიროებები, რათა ოლიმპიადაზე ჩვენი სპორტსმენები ღირსეულად იყვნენ წარმოდგენილი. ამასთან, აუცილებელია დასრულდეს უკვე დაწყებული და მიმდინარე სპორტული ინფრასტრუქტურული ობიექტები;</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lang w:val="ka-GE"/>
              </w:rPr>
            </w:pPr>
            <w:r w:rsidRPr="00730F88">
              <w:rPr>
                <w:rFonts w:ascii="Sylfaen" w:hAnsi="Sylfaen" w:cstheme="minorHAnsi"/>
              </w:rPr>
              <w:t xml:space="preserve">ქვეყნისათვის განათლება ერთ-ერთი პრიორიტეტული მიმართულებაა. წარმოდგენილი ბიუჯეტის პროექტით განათლების, მეცნიერების კულტურისა და სპორტის სამინისტროს ასიგნებების მოცულობა მიმდინარე წლის გეგმასთან </w:t>
            </w:r>
            <w:r w:rsidRPr="00730F88">
              <w:rPr>
                <w:rFonts w:ascii="Sylfaen" w:hAnsi="Sylfaen" w:cstheme="minorHAnsi"/>
              </w:rPr>
              <w:lastRenderedPageBreak/>
              <w:t>შედარებით იზრდება 200 მლნ ლარით. განათლების, მეცნიერების, კულტურისა და სპორტის სამინისტროსა და პარლამენტის განათლების, მეცნიერებისა და კულტურის კომიტეტთან კონსულტაციების შედეგად, კიდევ ერთხელ გაანალიზდეს და საჭიროებებიდან გამომდინარე, მოხდეს აღნიშნული ასიგნებების სხვადასხვა პროგრამებს შორის ეფექტიანი გადანაწილება.</w:t>
            </w:r>
            <w:r w:rsidRPr="00730F88">
              <w:rPr>
                <w:rFonts w:ascii="Sylfaen" w:hAnsi="Sylfaen" w:cstheme="minorHAnsi"/>
                <w:lang w:val="ka-GE"/>
              </w:rPr>
              <w:t xml:space="preserve"> </w:t>
            </w:r>
            <w:r w:rsidRPr="00730F88">
              <w:rPr>
                <w:rFonts w:ascii="Sylfaen" w:hAnsi="Sylfaen" w:cstheme="minorHAnsi"/>
              </w:rPr>
              <w:t>ამასთან, სასურველია გაიზარდოს ასიგნებები პროფესიული განათლების მიმართულებით (კოდი 32.03);</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lastRenderedPageBreak/>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წარმოდგენილი პროექტით რეგიონებში განსახორციელებელი ფონდის მოცულობა განსაზღვრულია 380 მლნ ლარით, ხოლო მოსახლების გაზიფიცირებისათვის - 70 მლნ ლარით. მიზანშეწონილია, მაქსიმალურად გაიზარდოს ასიგნებები ამ მიმართულებებით, რადგან აღნიშნული პროექტების განხორციელება პირდაპირ არის დაკავშირებული მოსახლეობის კეთილდღეობის ამაღლებასა და მათი ცხოვრების პირობების გაუმჯობესებასთან;</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ბიუჯეტის წარმოდგენილი კანონპროექტით გათვალისწინებულია ისეთი მნიშვნელოვანი პროგრამის ასიგნებების შემცირება, როგორიცაა მოსახლეობის საყოველთაო ჯანმრთელობის დაცვა. პრინციპულად მნიშვნელოვანია,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და ჯანმრთელობის დაცვისა და სოციალურ საკითხთა კომიტეტმა გააგრძელონ ერთობლივი მუშაობა აღნიშნული პროგრამის ასიგნებების ოდენობის თაობაზე, რათა კვლავაც გაგრძელდეს პროგრამის შეუფერხებლად და სრულფასოვნად განხორციელება;</w:t>
            </w:r>
          </w:p>
        </w:tc>
        <w:tc>
          <w:tcPr>
            <w:tcW w:w="2363" w:type="pct"/>
          </w:tcPr>
          <w:p w:rsidR="00D95AB5" w:rsidRPr="00730F88" w:rsidRDefault="00D95AB5" w:rsidP="00C53E9E">
            <w:pPr>
              <w:spacing w:line="276" w:lineRule="auto"/>
              <w:jc w:val="both"/>
              <w:rPr>
                <w:rFonts w:ascii="Sylfaen" w:hAnsi="Sylfaen" w:cstheme="minorHAnsi"/>
              </w:rPr>
            </w:pPr>
            <w:r w:rsidRPr="00D95AB5">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 xml:space="preserve">დადებითად უნდა შეფასდეს მთავრობის პოლიტიკა სოფლის პროგრამების ხელშეწყობის მიმართულებით. პანდემიიდან გამომდინარე მოსახლეობა უბრუნდება სოფელს. შესაბამისად, </w:t>
            </w:r>
            <w:r w:rsidRPr="00730F88">
              <w:rPr>
                <w:rFonts w:ascii="Sylfaen" w:hAnsi="Sylfaen" w:cstheme="minorHAnsi"/>
              </w:rPr>
              <w:lastRenderedPageBreak/>
              <w:t>კიდევ უფრო მეტი ყურადღება უნდა მიექცეს სოფლის პროგრამების დაფინანსებას, რადგან ამ პროგრამების განხორციელება მნიშვნელოვანია მოსახლეობის სურსათით უზრუნველყოფისთვის. ამასთან, უნდა გააქტიურდეს მუშაობა ამ მიზნით ბიუჯეტით გათვალისწინებული თანხების ათვისების მიმართულებით;</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lastRenderedPageBreak/>
              <w:t>განხილული იქნება მესამე წარდგენისთვის</w:t>
            </w:r>
          </w:p>
        </w:tc>
      </w:tr>
      <w:tr w:rsidR="00D95AB5" w:rsidRPr="00730F88" w:rsidTr="001652AF">
        <w:tc>
          <w:tcPr>
            <w:tcW w:w="2637" w:type="pct"/>
          </w:tcPr>
          <w:p w:rsidR="00D95AB5" w:rsidRPr="00D95AB5" w:rsidRDefault="00D95AB5" w:rsidP="00F14744">
            <w:pPr>
              <w:tabs>
                <w:tab w:val="left" w:pos="0"/>
              </w:tabs>
              <w:spacing w:line="276" w:lineRule="auto"/>
              <w:jc w:val="both"/>
              <w:rPr>
                <w:rFonts w:ascii="Sylfaen" w:hAnsi="Sylfaen" w:cstheme="minorHAnsi"/>
                <w:lang w:val="ka-GE"/>
              </w:rPr>
            </w:pPr>
            <w:r w:rsidRPr="00730F88">
              <w:rPr>
                <w:rFonts w:ascii="Sylfaen" w:hAnsi="Sylfaen" w:cstheme="minorHAnsi"/>
              </w:rPr>
              <w:t>საქართველოს პარლამენტის მიერ დადგენილებით მიღებული საქართველოს პარლამენტის 2021 წლის ბიუჯეტის პროექტის შემდეგ განხორციელდა საქართველოს საკონსტიტუციო ცვლილებები, რომლის შესაბამისად, ახალი მოწვევის პარლამენტში იზრდება პროპორციული სისტემით არჩეულ პარლამენტის წევრთა ოდენობა და მცირდება მაჟორიტარული წესით არჩეულ პარლამენტის წევრთა რაოდენობა, რაც გავლენას ახდენს ბიუჯეტის პროექტში პარლამენტის წევრების თანაშემწეთა და მაჟორიტარი პარლამენტის წევრთა ბიუროების დაფინანსების ოდენობაზე. აღნიშნული პრინციპის გათვალისწინებით, იზრდება პარლამენტის წევრების თანაშემწეთა რაოდენობა 50 ერთეულით, რის გამოც საქართველოს პარლამენტის 2021 წლის ბიუჯეტის მთლიანი მოცულობის შეუცვლელად ხდება ეკონომიკური კლასიფიკაციის მუხლებს შორის თანხების გადანაწილება. შესაბამისად, საქართველოს</w:t>
            </w:r>
            <w:r w:rsidRPr="00730F88">
              <w:rPr>
                <w:rFonts w:ascii="Sylfaen" w:hAnsi="Sylfaen" w:cstheme="minorHAnsi"/>
                <w:lang w:val="ka-GE"/>
              </w:rPr>
              <w:t xml:space="preserve"> </w:t>
            </w:r>
            <w:r w:rsidRPr="00730F88">
              <w:rPr>
                <w:rFonts w:ascii="Sylfaen" w:hAnsi="Sylfaen" w:cstheme="minorHAnsi"/>
              </w:rPr>
              <w:t xml:space="preserve">პარლამენტის 2021 წლის ბიუჯეტი და 2022-2024 წლების საშუალოვადიანი პროგნოზები უნდა </w:t>
            </w:r>
            <w:r>
              <w:rPr>
                <w:rFonts w:ascii="Sylfaen" w:hAnsi="Sylfaen" w:cstheme="minorHAnsi"/>
                <w:lang w:val="ka-GE"/>
              </w:rPr>
              <w:t>დაკორექტირდეს.</w:t>
            </w:r>
          </w:p>
          <w:p w:rsidR="00D95AB5" w:rsidRPr="00730F88" w:rsidRDefault="00D95AB5" w:rsidP="00F14744">
            <w:pPr>
              <w:tabs>
                <w:tab w:val="left" w:pos="0"/>
              </w:tabs>
              <w:spacing w:line="276" w:lineRule="auto"/>
              <w:jc w:val="both"/>
              <w:rPr>
                <w:rFonts w:ascii="Sylfaen" w:hAnsi="Sylfaen" w:cstheme="minorHAnsi"/>
                <w:lang w:val="ka-GE"/>
              </w:rPr>
            </w:pP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 xml:space="preserve">„მაკროეკონომიკური სცენარების ანალიზის“ დოკუმენტში წარმოდგენილი ეკონომიკური შოკების ანალიზი არ იძლევა დეტალურ ინფორმაციას იმის შესახებ, თუ მათი სხვადასხვა ხარისხით მატერიალიზაციამ რა მასშტაბის გავლენა შეიძლება მოახდინოს მოსალოდნელ ეკონომიკურ პარამეტრებზე. </w:t>
            </w:r>
            <w:r w:rsidRPr="00730F88">
              <w:rPr>
                <w:rFonts w:ascii="Sylfaen" w:hAnsi="Sylfaen" w:cstheme="minorHAnsi"/>
              </w:rPr>
              <w:lastRenderedPageBreak/>
              <w:t>მნიშვნელოვანია, რომ დოკუმენტში წარმოდგენილი რისკფაქტორები და მათგან გამოწვეული ეფექტები ეფუძნებოდეს შესაბამის რაოდენობრივ ინდიკატორებს, რაც შესაძლებელს გახდის მოცემული შოკების რეალიზაციის შეფასებასა და ანალიზს;</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lastRenderedPageBreak/>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ბიუჯეტის პროექტს, პესიმისტური და ოპტიმისტური ეკონომიკური სცენარების რეალიზების საჭიროების შემთხვევაში, ფისკალური პოლიტიკის შესაბამისი პასუხების შესახებ ინფორმაცია არ ახლავს. პანდემიისა და არსებული ეკონომიკური გამოწვევების ფონზე დიდი მნიშვნელობა ენიჭება ფისკალური პოლიტიკის მოქნილ და დროულ პასუხებს, რასაც სწორედ წინასწარ განსაზღვრული/დაგეგმილი ქმედებების არსებობა აადვილებს;</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წარმოდგენილი კანონპროექტით, 2021 წლის ერთიანი ბიუჯეტის დეფიციტი „ეკონომიკური თავისუფლების შესახებ“ ორგანული კანონით განსაზღვრული 3.0%-იანი ნიშნულის მიღმაა დაგეგმილი და 5.2%-ს შეადგენს. პანდემიით გამოწვეული მერყევი ეკონომიკური გარემოდან გამომდინარე, მიზანშეწონილია, რაოდენობრივ მაჩვენებლებთან ერთად, წარმოდგენილი იყოს ანალიზი და ხედვა, თუ რა ღონისძიებების/მიდგომების საშუალებით მოხდება საშუალოვადიან პერიოდში ბიუჯეტის დეფიციტის კანონით დადგენილი ლიმიტის ფარგლებში დაბრუნება;</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 xml:space="preserve">2021 წელს სახელმწიფო ბიუჯეტის პროექტით, სამთავრობო ვალი მშპ-სთან მიმართებით 2 პროცენტული პუნქტით მცირდება, თუმცა კანონით დადგენილ ზღვართან (60%-თან) ახლოსაა, რამაც მომავალში, შეიძლება შექმნას რისკები მონეტარული, ფისკალური და მთლიანობაში, მაკროეკონომიკური სტაბილურობის მიმართულებით. აქედან გამომდინარე, მნიშვნელოვანია </w:t>
            </w:r>
            <w:r w:rsidRPr="00730F88">
              <w:rPr>
                <w:rFonts w:ascii="Sylfaen" w:hAnsi="Sylfaen" w:cstheme="minorHAnsi"/>
              </w:rPr>
              <w:lastRenderedPageBreak/>
              <w:t>ჩამოყალიბდეს ეფექტიანი სტრატეგია სამთავრობო ვალის პარამეტრის შესამცირებლად;</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lastRenderedPageBreak/>
              <w:t>განხილული იქნება მესამე წარდგენისთვის</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lang w:val="ka-GE"/>
              </w:rPr>
            </w:pPr>
            <w:r w:rsidRPr="00730F88">
              <w:rPr>
                <w:rFonts w:ascii="Sylfaen" w:hAnsi="Sylfaen" w:cstheme="minorHAnsi"/>
              </w:rPr>
              <w:t>ბიუჯეტის კანონპროექტით განსაზღვრული მთავრობის ვალის ნაშთის მშპ-სთან ფარდობა 55.9%-ს შეადგენს, ხოლო ვალის წესის მიზნებისათვის გაანგარიშებული მაჩვენებელი, რომელიც მთავრობის ვალთან ერთად „საჯარო და კერძო თანამშრომლობის პროექტების“ (PPP პროექტები) ფარგლებში აღებული ვალდებულებების მიმდინარე ღირებულებასაც მოიცავს - 56.8%-ს უტოლდება, მაშინ, როდესაც „ეკონომიკური თავისუფლების შესახებ“ საქართველოს ორგანული კანონით განსაზღვრულია 60%-იანი ნიშნული. ამასთან</w:t>
            </w:r>
            <w:r w:rsidRPr="00730F88">
              <w:rPr>
                <w:rFonts w:ascii="Sylfaen" w:hAnsi="Sylfaen" w:cstheme="minorHAnsi"/>
                <w:lang w:val="ka-GE"/>
              </w:rPr>
              <w:t xml:space="preserve"> </w:t>
            </w:r>
            <w:r w:rsidRPr="00730F88">
              <w:rPr>
                <w:rFonts w:ascii="Sylfaen" w:hAnsi="Sylfaen" w:cstheme="minorHAnsi"/>
              </w:rPr>
              <w:t>გასათვალისწინებელია, რომ აღნიშნული მაჩვენებელი არ მოიცავს ყველა PPP პროექტიდან გამომდინარე ვალდებულებას. მნიშვნელოვანია, რომ არსებული გამოწვევების საპასუხოდ ფინანსთა სამინისტრომ დროულად განაახლოს „მთავრობის ვალის მართვის სტრატეგია“ საშუალოვადიანი პერიოდისათვის, რომელშიც ასახული იქნება მთავრობის ხედვა თუ როგორ დაუბრუნდება მთავრობის ვალის პორტფელი კრიზისის პერიოდამდე არსებულ ნიშნულს;</w:t>
            </w:r>
          </w:p>
        </w:tc>
        <w:tc>
          <w:tcPr>
            <w:tcW w:w="2363" w:type="pct"/>
          </w:tcPr>
          <w:p w:rsidR="00D95AB5" w:rsidRPr="00730F88" w:rsidRDefault="00D95AB5" w:rsidP="00C53E9E">
            <w:pPr>
              <w:spacing w:line="276" w:lineRule="auto"/>
              <w:jc w:val="both"/>
              <w:rPr>
                <w:rFonts w:ascii="Sylfaen" w:hAnsi="Sylfaen" w:cstheme="minorHAnsi"/>
              </w:rPr>
            </w:pPr>
            <w:r>
              <w:rPr>
                <w:rFonts w:ascii="Sylfaen" w:hAnsi="Sylfaen" w:cstheme="minorHAnsi"/>
                <w:lang w:val="ka-GE"/>
              </w:rPr>
              <w:t>მიმდინარეობს მუშაობა</w:t>
            </w:r>
          </w:p>
        </w:tc>
      </w:tr>
      <w:tr w:rsidR="00D95AB5" w:rsidRPr="00730F88" w:rsidTr="001652AF">
        <w:tc>
          <w:tcPr>
            <w:tcW w:w="2637" w:type="pct"/>
          </w:tcPr>
          <w:p w:rsidR="00D95AB5" w:rsidRPr="00730F88" w:rsidRDefault="00D95AB5" w:rsidP="00F14744">
            <w:pPr>
              <w:tabs>
                <w:tab w:val="left" w:pos="0"/>
              </w:tabs>
              <w:spacing w:line="276" w:lineRule="auto"/>
              <w:jc w:val="both"/>
              <w:rPr>
                <w:rFonts w:ascii="Sylfaen" w:hAnsi="Sylfaen" w:cstheme="minorHAnsi"/>
              </w:rPr>
            </w:pPr>
            <w:r w:rsidRPr="00730F88">
              <w:rPr>
                <w:rFonts w:ascii="Sylfaen" w:hAnsi="Sylfaen" w:cstheme="minorHAnsi"/>
              </w:rPr>
              <w:t xml:space="preserve">მოქმედი კანონმდებლობის შესაბამისად, უკვე რამდენიმე წელია ბიუჯეტის დაგეგმვა ხორციელდება პროგრამული ბიუჯეტის ფორმატით, რომელიც თანდათანობით იხვეწება და წარმოდგენილია გაუმჯობესებული ფორმატით. თუმცა უნდა აღინიშნოს, რომ ბიუჯეტის წარმოდგენილი პროექტით გათვალისწინებული პროგრამებისა და პროექტების ინდიკატორები (როგორც რაოდენობრივი, ისე ხარისხობრივი) ჯერ კიდევ არ არის სრულყოფილი, ხოლო ზოგიერთ შემთხვევაში ძალიან ზოგადია, რაც პროგრამებისა და პროექტების დაფინანსების ოდენობების რაციონალურობისა და ეფექტიანობის შესაძლებლობას არ იძლევა. შესაბამისად, მიზანშეწონილია </w:t>
            </w:r>
            <w:r w:rsidRPr="00730F88">
              <w:rPr>
                <w:rFonts w:ascii="Sylfaen" w:hAnsi="Sylfaen" w:cstheme="minorHAnsi"/>
              </w:rPr>
              <w:lastRenderedPageBreak/>
              <w:t>გაგრძელდეს მუშაობა აღნიშნული მაჩვენებლების შემდგომი დახვეწისა და სრულყოფის მიმართულებით, რის თაობაზეც საერთაშორისო ორგანიზაციებიც მიუთითებენ;</w:t>
            </w:r>
          </w:p>
        </w:tc>
        <w:tc>
          <w:tcPr>
            <w:tcW w:w="2363" w:type="pct"/>
          </w:tcPr>
          <w:p w:rsidR="00D95AB5" w:rsidRPr="00D95AB5" w:rsidRDefault="00D95AB5" w:rsidP="00C53E9E">
            <w:pPr>
              <w:spacing w:line="276" w:lineRule="auto"/>
              <w:jc w:val="both"/>
              <w:rPr>
                <w:rFonts w:ascii="Sylfaen" w:hAnsi="Sylfaen" w:cstheme="minorHAnsi"/>
                <w:lang w:val="ka-GE"/>
              </w:rPr>
            </w:pPr>
            <w:r>
              <w:rPr>
                <w:rFonts w:ascii="Sylfaen" w:hAnsi="Sylfaen" w:cstheme="minorHAnsi"/>
                <w:lang w:val="ka-GE"/>
              </w:rPr>
              <w:lastRenderedPageBreak/>
              <w:t>მიმდინარეობს მუშობა</w:t>
            </w:r>
          </w:p>
        </w:tc>
      </w:tr>
      <w:tr w:rsidR="00D95AB5" w:rsidRPr="00730F88" w:rsidTr="001652AF">
        <w:tc>
          <w:tcPr>
            <w:tcW w:w="2637" w:type="pct"/>
          </w:tcPr>
          <w:p w:rsidR="00D95AB5" w:rsidRPr="00730F88" w:rsidRDefault="00D95AB5" w:rsidP="00D95AB5">
            <w:pPr>
              <w:tabs>
                <w:tab w:val="left" w:pos="0"/>
              </w:tabs>
              <w:spacing w:line="276" w:lineRule="auto"/>
              <w:jc w:val="both"/>
              <w:rPr>
                <w:rFonts w:ascii="Sylfaen" w:hAnsi="Sylfaen" w:cstheme="minorHAnsi"/>
              </w:rPr>
            </w:pPr>
            <w:r w:rsidRPr="00730F88">
              <w:rPr>
                <w:rFonts w:ascii="Sylfaen" w:hAnsi="Sylfaen" w:cstheme="minorHAnsi"/>
              </w:rPr>
              <w:t>დივიდენდებიდან მისაღები შემოსავლების რეალისტური საპროგნოზო მაჩვენებლის განსაზღვრის მიზნით მიზანშეწონილია, დივიდენდების გამანაწილებელი კომისია შეიკრიბოს დროულად, რათა მოხდეს მათ მიერ მიღებული გადაწყვეტილების ასახვა დივიდენდების საპროგნოზო მაჩვენებელში;</w:t>
            </w:r>
          </w:p>
        </w:tc>
        <w:tc>
          <w:tcPr>
            <w:tcW w:w="2363" w:type="pct"/>
          </w:tcPr>
          <w:p w:rsidR="00D95AB5" w:rsidRPr="00D95AB5" w:rsidRDefault="00D95AB5" w:rsidP="00D95AB5">
            <w:pPr>
              <w:spacing w:line="276" w:lineRule="auto"/>
              <w:jc w:val="both"/>
              <w:rPr>
                <w:rFonts w:ascii="Sylfaen" w:hAnsi="Sylfaen" w:cstheme="minorHAnsi"/>
                <w:lang w:val="ka-GE"/>
              </w:rPr>
            </w:pPr>
            <w:r>
              <w:rPr>
                <w:rFonts w:ascii="Sylfaen" w:hAnsi="Sylfaen" w:cstheme="minorHAnsi"/>
                <w:lang w:val="ka-GE"/>
              </w:rPr>
              <w:t>მიმდინარეობს მუშობა</w:t>
            </w:r>
          </w:p>
        </w:tc>
      </w:tr>
      <w:tr w:rsidR="00D95AB5" w:rsidRPr="00730F88" w:rsidTr="001652AF">
        <w:tc>
          <w:tcPr>
            <w:tcW w:w="2637" w:type="pct"/>
          </w:tcPr>
          <w:p w:rsidR="00D95AB5" w:rsidRPr="00730F88" w:rsidRDefault="00D95AB5" w:rsidP="00D95AB5">
            <w:pPr>
              <w:tabs>
                <w:tab w:val="left" w:pos="0"/>
              </w:tabs>
              <w:spacing w:line="276" w:lineRule="auto"/>
              <w:jc w:val="both"/>
              <w:rPr>
                <w:rFonts w:ascii="Sylfaen" w:hAnsi="Sylfaen" w:cstheme="minorHAnsi"/>
              </w:rPr>
            </w:pPr>
            <w:r w:rsidRPr="00730F88">
              <w:rPr>
                <w:rFonts w:ascii="Sylfaen" w:hAnsi="Sylfaen" w:cstheme="minorHAnsi"/>
              </w:rPr>
              <w:t>მიზანშეწონილია, საქართველოს მთავრობამ და ეროვნულმა ბანკმა უზრუნველყონ საერთაშორისო სავალუტო ფონდთან შეთანხმებული პარამეტრების დაცვა, რათა არ მოხდეს ბიუჯეტის დეფიციტის ზრდა იმ დონემდე, რომ გაჩნდეს ინფლაციაზე დამატებითი წნეხის რისკები და საფრთხე შეექმნას მაკროეკონომიკურ სტაბილურობას.</w:t>
            </w:r>
          </w:p>
        </w:tc>
        <w:tc>
          <w:tcPr>
            <w:tcW w:w="2363" w:type="pct"/>
          </w:tcPr>
          <w:p w:rsidR="00D95AB5" w:rsidRPr="00D95AB5" w:rsidRDefault="00D95AB5" w:rsidP="00D95AB5">
            <w:pPr>
              <w:spacing w:line="276" w:lineRule="auto"/>
              <w:jc w:val="both"/>
              <w:rPr>
                <w:rFonts w:ascii="Sylfaen" w:hAnsi="Sylfaen" w:cstheme="minorHAnsi"/>
                <w:lang w:val="ka-GE"/>
              </w:rPr>
            </w:pPr>
            <w:r>
              <w:rPr>
                <w:rFonts w:ascii="Sylfaen" w:hAnsi="Sylfaen" w:cstheme="minorHAnsi"/>
                <w:lang w:val="ka-GE"/>
              </w:rPr>
              <w:t>მიმდინარეობს მუშობა</w:t>
            </w:r>
          </w:p>
        </w:tc>
      </w:tr>
    </w:tbl>
    <w:p w:rsidR="00611267" w:rsidRPr="00730F88" w:rsidRDefault="00611267" w:rsidP="00F14744">
      <w:pPr>
        <w:spacing w:line="276" w:lineRule="auto"/>
        <w:rPr>
          <w:rFonts w:ascii="Sylfaen" w:hAnsi="Sylfaen" w:cstheme="minorHAnsi"/>
          <w:b/>
          <w:lang w:val="ka-GE"/>
        </w:rPr>
      </w:pPr>
    </w:p>
    <w:sectPr w:rsidR="00611267" w:rsidRPr="00730F88"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9E" w:rsidRDefault="0086799E" w:rsidP="00611267">
      <w:pPr>
        <w:spacing w:after="0" w:line="240" w:lineRule="auto"/>
      </w:pPr>
      <w:r>
        <w:separator/>
      </w:r>
    </w:p>
  </w:endnote>
  <w:endnote w:type="continuationSeparator" w:id="0">
    <w:p w:rsidR="0086799E" w:rsidRDefault="0086799E"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874D97" w:rsidRPr="00B377D7" w:rsidRDefault="00874D97">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032C1E">
          <w:rPr>
            <w:noProof/>
            <w:sz w:val="20"/>
          </w:rPr>
          <w:t>3</w:t>
        </w:r>
        <w:r w:rsidRPr="00B377D7">
          <w:rPr>
            <w:noProof/>
            <w:sz w:val="20"/>
          </w:rPr>
          <w:fldChar w:fldCharType="end"/>
        </w:r>
      </w:p>
    </w:sdtContent>
  </w:sdt>
  <w:p w:rsidR="00874D97" w:rsidRPr="00336E24" w:rsidRDefault="00874D97">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9E" w:rsidRDefault="0086799E" w:rsidP="00611267">
      <w:pPr>
        <w:spacing w:after="0" w:line="240" w:lineRule="auto"/>
      </w:pPr>
      <w:r>
        <w:separator/>
      </w:r>
    </w:p>
  </w:footnote>
  <w:footnote w:type="continuationSeparator" w:id="0">
    <w:p w:rsidR="0086799E" w:rsidRDefault="0086799E"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32C1E"/>
    <w:rsid w:val="000415AF"/>
    <w:rsid w:val="00046675"/>
    <w:rsid w:val="00063FBB"/>
    <w:rsid w:val="0009602F"/>
    <w:rsid w:val="00097667"/>
    <w:rsid w:val="000E761E"/>
    <w:rsid w:val="000F7ED9"/>
    <w:rsid w:val="001217BE"/>
    <w:rsid w:val="00136CD2"/>
    <w:rsid w:val="00154A2A"/>
    <w:rsid w:val="001652AF"/>
    <w:rsid w:val="002019AE"/>
    <w:rsid w:val="00276189"/>
    <w:rsid w:val="002809C9"/>
    <w:rsid w:val="002877DA"/>
    <w:rsid w:val="00306ECF"/>
    <w:rsid w:val="00336E24"/>
    <w:rsid w:val="00337514"/>
    <w:rsid w:val="00363AE5"/>
    <w:rsid w:val="00364BFE"/>
    <w:rsid w:val="003B0422"/>
    <w:rsid w:val="003E05A6"/>
    <w:rsid w:val="0045055C"/>
    <w:rsid w:val="0045641E"/>
    <w:rsid w:val="00495113"/>
    <w:rsid w:val="004E533C"/>
    <w:rsid w:val="00570817"/>
    <w:rsid w:val="005D556B"/>
    <w:rsid w:val="005E05F5"/>
    <w:rsid w:val="00611267"/>
    <w:rsid w:val="006443DE"/>
    <w:rsid w:val="00644D87"/>
    <w:rsid w:val="006E03CA"/>
    <w:rsid w:val="00703AB2"/>
    <w:rsid w:val="00730F88"/>
    <w:rsid w:val="0074451E"/>
    <w:rsid w:val="0074572E"/>
    <w:rsid w:val="00784197"/>
    <w:rsid w:val="007B329A"/>
    <w:rsid w:val="00803DBE"/>
    <w:rsid w:val="0086799E"/>
    <w:rsid w:val="00874D97"/>
    <w:rsid w:val="008D317F"/>
    <w:rsid w:val="00944725"/>
    <w:rsid w:val="00947DBA"/>
    <w:rsid w:val="00962707"/>
    <w:rsid w:val="00974DF8"/>
    <w:rsid w:val="009C7A57"/>
    <w:rsid w:val="009C7F41"/>
    <w:rsid w:val="009D3FF6"/>
    <w:rsid w:val="00A371BA"/>
    <w:rsid w:val="00A56CA0"/>
    <w:rsid w:val="00AA2172"/>
    <w:rsid w:val="00AB62D0"/>
    <w:rsid w:val="00AF7BC4"/>
    <w:rsid w:val="00B040FA"/>
    <w:rsid w:val="00B26BFA"/>
    <w:rsid w:val="00B377D7"/>
    <w:rsid w:val="00B81507"/>
    <w:rsid w:val="00B839F9"/>
    <w:rsid w:val="00C11975"/>
    <w:rsid w:val="00C53E9E"/>
    <w:rsid w:val="00CF6B48"/>
    <w:rsid w:val="00CF7F1F"/>
    <w:rsid w:val="00D95AB5"/>
    <w:rsid w:val="00E01ED5"/>
    <w:rsid w:val="00E27B6D"/>
    <w:rsid w:val="00E769BF"/>
    <w:rsid w:val="00EA1AF1"/>
    <w:rsid w:val="00ED0CD9"/>
    <w:rsid w:val="00ED173B"/>
    <w:rsid w:val="00F14744"/>
    <w:rsid w:val="00F9293F"/>
    <w:rsid w:val="00FA24EB"/>
    <w:rsid w:val="00FA7E90"/>
    <w:rsid w:val="00FB6E17"/>
    <w:rsid w:val="00FC6964"/>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5CA3-0363-43E3-8CC3-DD69BF64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Ekaterine Guntsadze</cp:lastModifiedBy>
  <cp:revision>2</cp:revision>
  <cp:lastPrinted>2020-11-05T08:37:00Z</cp:lastPrinted>
  <dcterms:created xsi:type="dcterms:W3CDTF">2020-11-05T08:43:00Z</dcterms:created>
  <dcterms:modified xsi:type="dcterms:W3CDTF">2020-11-05T08:43:00Z</dcterms:modified>
</cp:coreProperties>
</file>